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60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6"/>
      </w:tblGrid>
      <w:tr w14:paraId="15E312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9606" w:type="dxa"/>
          </w:tcPr>
          <w:p w14:paraId="191B5BD2">
            <w:pPr>
              <w:spacing w:after="0" w:line="240" w:lineRule="auto"/>
              <w:jc w:val="right"/>
              <w:rPr>
                <w:rFonts w:hint="default" w:ascii="Times New Roman" w:hAnsi="Times New Roman"/>
                <w:i w:val="0"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      </w:t>
            </w:r>
            <w:r>
              <w:rPr>
                <w:rFonts w:ascii="Times New Roman" w:hAnsi="Times New Roman"/>
                <w:i w:val="0"/>
                <w:iCs/>
                <w:color w:val="000000"/>
                <w:sz w:val="24"/>
                <w:szCs w:val="24"/>
                <w:lang w:val="ru-RU"/>
              </w:rPr>
              <w:t>Приложение</w:t>
            </w:r>
            <w:r>
              <w:rPr>
                <w:rFonts w:hint="default" w:ascii="Times New Roman" w:hAnsi="Times New Roman"/>
                <w:i w:val="0"/>
                <w:iCs/>
                <w:color w:val="000000"/>
                <w:sz w:val="24"/>
                <w:szCs w:val="24"/>
                <w:lang w:val="ru-RU"/>
              </w:rPr>
              <w:t xml:space="preserve"> №1</w:t>
            </w:r>
          </w:p>
          <w:p w14:paraId="5CC47782">
            <w:pPr>
              <w:spacing w:after="0" w:line="240" w:lineRule="auto"/>
              <w:jc w:val="right"/>
              <w:rPr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УТВЕРЖДЕНО</w:t>
            </w:r>
          </w:p>
          <w:p w14:paraId="45C82199">
            <w:pPr>
              <w:spacing w:after="0" w:line="240" w:lineRule="auto"/>
              <w:jc w:val="right"/>
              <w:rPr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 xml:space="preserve">Приказом Генерального директора </w:t>
            </w:r>
          </w:p>
          <w:p w14:paraId="7829AD96">
            <w:pPr>
              <w:spacing w:after="0" w:line="240" w:lineRule="auto"/>
              <w:jc w:val="right"/>
              <w:rPr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ООО «Ломбард Привилегия»</w:t>
            </w:r>
          </w:p>
          <w:p w14:paraId="60EF4B15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iCs/>
                <w:sz w:val="24"/>
                <w:szCs w:val="24"/>
              </w:rPr>
              <w:t>№01/2</w:t>
            </w:r>
            <w:r>
              <w:rPr>
                <w:rFonts w:hint="default"/>
                <w:i w:val="0"/>
                <w:iCs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i w:val="0"/>
                <w:iCs/>
                <w:sz w:val="24"/>
                <w:szCs w:val="24"/>
              </w:rPr>
              <w:t>-</w:t>
            </w:r>
            <w:r>
              <w:rPr>
                <w:rFonts w:hint="default"/>
                <w:i w:val="0"/>
                <w:iCs/>
                <w:sz w:val="24"/>
                <w:szCs w:val="24"/>
                <w:lang w:val="ru-RU"/>
              </w:rPr>
              <w:t>1</w:t>
            </w:r>
            <w:bookmarkStart w:id="2" w:name="_GoBack"/>
            <w:bookmarkEnd w:id="2"/>
            <w:r>
              <w:rPr>
                <w:rFonts w:ascii="Times New Roman" w:hAnsi="Times New Roman"/>
                <w:i w:val="0"/>
                <w:iCs/>
                <w:sz w:val="24"/>
                <w:szCs w:val="24"/>
              </w:rPr>
              <w:t xml:space="preserve"> от </w:t>
            </w:r>
            <w:r>
              <w:rPr>
                <w:rFonts w:hint="default"/>
                <w:i w:val="0"/>
                <w:iCs/>
                <w:sz w:val="24"/>
                <w:szCs w:val="24"/>
                <w:lang w:val="ru-RU"/>
              </w:rPr>
              <w:t>21</w:t>
            </w:r>
            <w:r>
              <w:rPr>
                <w:rFonts w:ascii="Times New Roman" w:hAnsi="Times New Roman"/>
                <w:i w:val="0"/>
                <w:iCs/>
                <w:sz w:val="24"/>
                <w:szCs w:val="24"/>
              </w:rPr>
              <w:t>.0</w:t>
            </w:r>
            <w:r>
              <w:rPr>
                <w:rFonts w:hint="default"/>
                <w:i w:val="0"/>
                <w:iCs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i w:val="0"/>
                <w:iCs/>
                <w:sz w:val="24"/>
                <w:szCs w:val="24"/>
              </w:rPr>
              <w:t>.202</w:t>
            </w:r>
            <w:r>
              <w:rPr>
                <w:rFonts w:hint="default"/>
                <w:i w:val="0"/>
                <w:iCs/>
                <w:sz w:val="24"/>
                <w:szCs w:val="24"/>
                <w:lang w:val="ru-RU"/>
              </w:rPr>
              <w:t>4</w:t>
            </w:r>
            <w:r>
              <w:rPr>
                <w:rFonts w:hint="default" w:ascii="Times New Roman" w:hAnsi="Times New Roman"/>
                <w:i w:val="0"/>
                <w:iCs/>
                <w:sz w:val="24"/>
                <w:szCs w:val="24"/>
                <w:lang w:val="ru-RU"/>
              </w:rPr>
              <w:t xml:space="preserve"> г.</w:t>
            </w:r>
          </w:p>
        </w:tc>
      </w:tr>
      <w:tr w14:paraId="15E31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6" w:type="dxa"/>
          </w:tcPr>
          <w:p w14:paraId="15E312B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  <w:lang w:val="ru-RU"/>
              </w:rPr>
            </w:pPr>
          </w:p>
        </w:tc>
      </w:tr>
      <w:tr w14:paraId="15E31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6" w:type="dxa"/>
          </w:tcPr>
          <w:p w14:paraId="15E312B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  <w:lang w:val="ru-RU"/>
              </w:rPr>
            </w:pPr>
          </w:p>
        </w:tc>
      </w:tr>
      <w:tr w14:paraId="15E312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9606" w:type="dxa"/>
          </w:tcPr>
          <w:p w14:paraId="15E312BE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sz w:val="24"/>
                <w:szCs w:val="24"/>
                <w:highlight w:val="yellow"/>
                <w:lang w:val="ru-RU"/>
              </w:rPr>
            </w:pPr>
          </w:p>
        </w:tc>
      </w:tr>
    </w:tbl>
    <w:p w14:paraId="682E18C4">
      <w:pPr>
        <w:spacing w:line="298" w:lineRule="exact"/>
        <w:ind w:left="2123" w:right="1615"/>
        <w:jc w:val="center"/>
        <w:rPr>
          <w:b/>
          <w:sz w:val="24"/>
          <w:szCs w:val="24"/>
          <w:lang w:val="ru-RU"/>
        </w:rPr>
      </w:pPr>
    </w:p>
    <w:p w14:paraId="38AB4EDD">
      <w:pPr>
        <w:spacing w:line="298" w:lineRule="exact"/>
        <w:ind w:left="2123" w:right="1615"/>
        <w:jc w:val="center"/>
        <w:rPr>
          <w:b/>
          <w:sz w:val="24"/>
          <w:szCs w:val="24"/>
          <w:lang w:val="ru-RU"/>
        </w:rPr>
      </w:pPr>
    </w:p>
    <w:p w14:paraId="306D555A">
      <w:pPr>
        <w:spacing w:line="298" w:lineRule="exact"/>
        <w:ind w:left="2123" w:right="1615"/>
        <w:jc w:val="center"/>
        <w:rPr>
          <w:b/>
          <w:sz w:val="24"/>
          <w:szCs w:val="24"/>
          <w:lang w:val="ru-RU"/>
        </w:rPr>
      </w:pPr>
    </w:p>
    <w:p w14:paraId="07EB4889">
      <w:pPr>
        <w:spacing w:line="298" w:lineRule="exact"/>
        <w:ind w:left="2123" w:right="1615"/>
        <w:jc w:val="center"/>
        <w:rPr>
          <w:b/>
          <w:sz w:val="24"/>
          <w:szCs w:val="24"/>
          <w:lang w:val="ru-RU"/>
        </w:rPr>
      </w:pPr>
    </w:p>
    <w:p w14:paraId="592969E3">
      <w:pPr>
        <w:spacing w:line="298" w:lineRule="exact"/>
        <w:ind w:left="2123" w:right="1615"/>
        <w:jc w:val="center"/>
        <w:rPr>
          <w:b/>
          <w:sz w:val="24"/>
          <w:szCs w:val="24"/>
          <w:lang w:val="ru-RU"/>
        </w:rPr>
      </w:pPr>
    </w:p>
    <w:p w14:paraId="2FFA977A">
      <w:pPr>
        <w:spacing w:line="298" w:lineRule="exact"/>
        <w:ind w:left="2123" w:right="1615"/>
        <w:jc w:val="center"/>
        <w:rPr>
          <w:b/>
          <w:sz w:val="24"/>
          <w:szCs w:val="24"/>
          <w:lang w:val="ru-RU"/>
        </w:rPr>
      </w:pPr>
    </w:p>
    <w:p w14:paraId="61615C80">
      <w:pPr>
        <w:spacing w:line="298" w:lineRule="exact"/>
        <w:ind w:left="2123" w:right="1615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ОБЩИЕ УСЛОВИЯ ДОГОВОРА ПОТРЕБИТЕЛЬСКОГО КРЕДИТА (ЗАЙМА) </w:t>
      </w:r>
    </w:p>
    <w:p w14:paraId="15E312C0">
      <w:pPr>
        <w:spacing w:line="298" w:lineRule="exact"/>
        <w:ind w:left="2123" w:right="1615"/>
        <w:jc w:val="center"/>
        <w:rPr>
          <w:b/>
          <w:sz w:val="24"/>
          <w:szCs w:val="24"/>
          <w:lang w:val="ru-RU"/>
        </w:rPr>
      </w:pPr>
      <w:r>
        <w:rPr>
          <w:b/>
          <w:sz w:val="28"/>
          <w:szCs w:val="28"/>
          <w:lang w:val="ru-RU"/>
        </w:rPr>
        <w:t>Общества с ограниченной ответственностью «Ломбард Привилегия»</w:t>
      </w:r>
    </w:p>
    <w:p w14:paraId="15E312C1">
      <w:pPr>
        <w:pStyle w:val="6"/>
        <w:spacing w:before="2"/>
        <w:ind w:left="0" w:right="0" w:firstLine="0"/>
        <w:jc w:val="center"/>
        <w:rPr>
          <w:i/>
          <w:sz w:val="24"/>
          <w:szCs w:val="24"/>
          <w:lang w:val="ru-RU"/>
        </w:rPr>
      </w:pPr>
    </w:p>
    <w:p w14:paraId="15E312C2">
      <w:pPr>
        <w:pStyle w:val="6"/>
        <w:spacing w:before="2"/>
        <w:ind w:left="0" w:right="0" w:firstLine="0"/>
        <w:jc w:val="center"/>
        <w:rPr>
          <w:i/>
          <w:sz w:val="24"/>
          <w:szCs w:val="24"/>
          <w:lang w:val="ru-RU"/>
        </w:rPr>
      </w:pPr>
    </w:p>
    <w:p w14:paraId="43D5CDFC">
      <w:pPr>
        <w:pStyle w:val="6"/>
        <w:spacing w:before="2"/>
        <w:ind w:left="0" w:right="0" w:firstLine="0"/>
        <w:jc w:val="center"/>
        <w:rPr>
          <w:i/>
          <w:sz w:val="24"/>
          <w:szCs w:val="24"/>
          <w:lang w:val="ru-RU"/>
        </w:rPr>
      </w:pPr>
    </w:p>
    <w:p w14:paraId="61064958">
      <w:pPr>
        <w:pStyle w:val="6"/>
        <w:spacing w:before="2"/>
        <w:ind w:left="0" w:right="0" w:firstLine="0"/>
        <w:jc w:val="center"/>
        <w:rPr>
          <w:i/>
          <w:sz w:val="24"/>
          <w:szCs w:val="24"/>
          <w:lang w:val="ru-RU"/>
        </w:rPr>
      </w:pPr>
    </w:p>
    <w:p w14:paraId="55B897E3">
      <w:pPr>
        <w:pStyle w:val="6"/>
        <w:spacing w:before="2"/>
        <w:ind w:left="0" w:right="0" w:firstLine="0"/>
        <w:jc w:val="center"/>
        <w:rPr>
          <w:i/>
          <w:sz w:val="24"/>
          <w:szCs w:val="24"/>
          <w:lang w:val="ru-RU"/>
        </w:rPr>
      </w:pPr>
    </w:p>
    <w:p w14:paraId="68EEE018">
      <w:pPr>
        <w:pStyle w:val="6"/>
        <w:spacing w:before="2"/>
        <w:ind w:left="0" w:right="0" w:firstLine="0"/>
        <w:jc w:val="center"/>
        <w:rPr>
          <w:i/>
          <w:sz w:val="24"/>
          <w:szCs w:val="24"/>
          <w:lang w:val="ru-RU"/>
        </w:rPr>
      </w:pPr>
    </w:p>
    <w:p w14:paraId="41708F08">
      <w:pPr>
        <w:pStyle w:val="6"/>
        <w:spacing w:before="2"/>
        <w:ind w:left="0" w:right="0" w:firstLine="0"/>
        <w:jc w:val="center"/>
        <w:rPr>
          <w:i/>
          <w:sz w:val="24"/>
          <w:szCs w:val="24"/>
          <w:lang w:val="ru-RU"/>
        </w:rPr>
      </w:pPr>
    </w:p>
    <w:p w14:paraId="45BEB66D">
      <w:pPr>
        <w:pStyle w:val="6"/>
        <w:spacing w:before="2"/>
        <w:ind w:left="0" w:right="0" w:firstLine="0"/>
        <w:jc w:val="center"/>
        <w:rPr>
          <w:i/>
          <w:sz w:val="24"/>
          <w:szCs w:val="24"/>
          <w:lang w:val="ru-RU"/>
        </w:rPr>
      </w:pPr>
    </w:p>
    <w:p w14:paraId="4296DE08">
      <w:pPr>
        <w:pStyle w:val="6"/>
        <w:spacing w:before="2"/>
        <w:ind w:left="0" w:right="0" w:firstLine="0"/>
        <w:jc w:val="center"/>
        <w:rPr>
          <w:i/>
          <w:sz w:val="24"/>
          <w:szCs w:val="24"/>
          <w:lang w:val="ru-RU"/>
        </w:rPr>
      </w:pPr>
    </w:p>
    <w:p w14:paraId="4EC865D7">
      <w:pPr>
        <w:pStyle w:val="6"/>
        <w:spacing w:before="2"/>
        <w:ind w:left="0" w:right="0" w:firstLine="0"/>
        <w:jc w:val="center"/>
        <w:rPr>
          <w:i/>
          <w:sz w:val="24"/>
          <w:szCs w:val="24"/>
          <w:lang w:val="ru-RU"/>
        </w:rPr>
      </w:pPr>
    </w:p>
    <w:p w14:paraId="060C4F99">
      <w:pPr>
        <w:pStyle w:val="6"/>
        <w:spacing w:before="2"/>
        <w:ind w:left="0" w:right="0" w:firstLine="0"/>
        <w:jc w:val="center"/>
        <w:rPr>
          <w:i/>
          <w:sz w:val="24"/>
          <w:szCs w:val="24"/>
          <w:lang w:val="ru-RU"/>
        </w:rPr>
      </w:pPr>
    </w:p>
    <w:p w14:paraId="337C4040">
      <w:pPr>
        <w:pStyle w:val="6"/>
        <w:spacing w:before="2"/>
        <w:ind w:left="0" w:right="0" w:firstLine="0"/>
        <w:jc w:val="center"/>
        <w:rPr>
          <w:i/>
          <w:sz w:val="24"/>
          <w:szCs w:val="24"/>
          <w:lang w:val="ru-RU"/>
        </w:rPr>
      </w:pPr>
    </w:p>
    <w:p w14:paraId="37C6F6D2">
      <w:pPr>
        <w:pStyle w:val="6"/>
        <w:spacing w:before="2"/>
        <w:ind w:left="0" w:right="0" w:firstLine="0"/>
        <w:jc w:val="center"/>
        <w:rPr>
          <w:i/>
          <w:sz w:val="24"/>
          <w:szCs w:val="24"/>
          <w:lang w:val="ru-RU"/>
        </w:rPr>
      </w:pPr>
    </w:p>
    <w:p w14:paraId="7FF5FEB5">
      <w:pPr>
        <w:pStyle w:val="6"/>
        <w:spacing w:before="2"/>
        <w:ind w:left="0" w:right="0" w:firstLine="0"/>
        <w:jc w:val="center"/>
        <w:rPr>
          <w:i/>
          <w:sz w:val="24"/>
          <w:szCs w:val="24"/>
          <w:lang w:val="ru-RU"/>
        </w:rPr>
      </w:pPr>
    </w:p>
    <w:p w14:paraId="164074B4">
      <w:pPr>
        <w:pStyle w:val="6"/>
        <w:spacing w:before="2"/>
        <w:ind w:left="0" w:right="0" w:firstLine="0"/>
        <w:jc w:val="center"/>
        <w:rPr>
          <w:i/>
          <w:sz w:val="24"/>
          <w:szCs w:val="24"/>
          <w:lang w:val="ru-RU"/>
        </w:rPr>
      </w:pPr>
    </w:p>
    <w:p w14:paraId="14BCF61D">
      <w:pPr>
        <w:pStyle w:val="6"/>
        <w:spacing w:before="2"/>
        <w:ind w:left="0" w:right="0" w:firstLine="0"/>
        <w:jc w:val="center"/>
        <w:rPr>
          <w:i/>
          <w:sz w:val="24"/>
          <w:szCs w:val="24"/>
          <w:lang w:val="ru-RU"/>
        </w:rPr>
      </w:pPr>
    </w:p>
    <w:p w14:paraId="7113D014">
      <w:pPr>
        <w:pStyle w:val="6"/>
        <w:spacing w:before="2"/>
        <w:ind w:left="0" w:right="0" w:firstLine="0"/>
        <w:jc w:val="center"/>
        <w:rPr>
          <w:i/>
          <w:sz w:val="24"/>
          <w:szCs w:val="24"/>
          <w:lang w:val="ru-RU"/>
        </w:rPr>
      </w:pPr>
    </w:p>
    <w:p w14:paraId="015297B2">
      <w:pPr>
        <w:pStyle w:val="6"/>
        <w:spacing w:before="2"/>
        <w:ind w:left="0" w:right="0" w:firstLine="0"/>
        <w:jc w:val="center"/>
        <w:rPr>
          <w:i/>
          <w:sz w:val="24"/>
          <w:szCs w:val="24"/>
          <w:lang w:val="ru-RU"/>
        </w:rPr>
      </w:pPr>
    </w:p>
    <w:p w14:paraId="50A0F705">
      <w:pPr>
        <w:pStyle w:val="6"/>
        <w:spacing w:before="2"/>
        <w:ind w:left="0" w:right="0" w:firstLine="0"/>
        <w:jc w:val="center"/>
        <w:rPr>
          <w:i/>
          <w:sz w:val="24"/>
          <w:szCs w:val="24"/>
          <w:lang w:val="ru-RU"/>
        </w:rPr>
      </w:pPr>
    </w:p>
    <w:p w14:paraId="06D0F6F4">
      <w:pPr>
        <w:pStyle w:val="6"/>
        <w:spacing w:before="2"/>
        <w:ind w:left="0" w:right="0" w:firstLine="0"/>
        <w:jc w:val="center"/>
        <w:rPr>
          <w:i/>
          <w:sz w:val="24"/>
          <w:szCs w:val="24"/>
          <w:lang w:val="ru-RU"/>
        </w:rPr>
      </w:pPr>
    </w:p>
    <w:p w14:paraId="057F4A3E">
      <w:pPr>
        <w:pStyle w:val="6"/>
        <w:spacing w:before="2"/>
        <w:ind w:left="0" w:right="0" w:firstLine="0"/>
        <w:jc w:val="center"/>
        <w:rPr>
          <w:i/>
          <w:sz w:val="24"/>
          <w:szCs w:val="24"/>
          <w:lang w:val="ru-RU"/>
        </w:rPr>
      </w:pPr>
    </w:p>
    <w:p w14:paraId="48EBEF2D">
      <w:pPr>
        <w:pStyle w:val="6"/>
        <w:spacing w:before="2"/>
        <w:ind w:left="0" w:right="0" w:firstLine="0"/>
        <w:jc w:val="center"/>
        <w:rPr>
          <w:i/>
          <w:sz w:val="24"/>
          <w:szCs w:val="24"/>
          <w:lang w:val="ru-RU"/>
        </w:rPr>
      </w:pPr>
    </w:p>
    <w:p w14:paraId="31A9A0D0">
      <w:pPr>
        <w:pStyle w:val="6"/>
        <w:spacing w:before="2"/>
        <w:ind w:left="0" w:right="0" w:firstLine="0"/>
        <w:jc w:val="center"/>
        <w:rPr>
          <w:i/>
          <w:sz w:val="24"/>
          <w:szCs w:val="24"/>
          <w:lang w:val="ru-RU"/>
        </w:rPr>
      </w:pPr>
    </w:p>
    <w:p w14:paraId="1A0F6933">
      <w:pPr>
        <w:pStyle w:val="6"/>
        <w:spacing w:before="2"/>
        <w:ind w:left="0" w:right="0" w:firstLine="0"/>
        <w:jc w:val="center"/>
        <w:rPr>
          <w:i/>
          <w:sz w:val="24"/>
          <w:szCs w:val="24"/>
          <w:lang w:val="ru-RU"/>
        </w:rPr>
      </w:pPr>
    </w:p>
    <w:p w14:paraId="7741B07A">
      <w:pPr>
        <w:pStyle w:val="6"/>
        <w:spacing w:before="2"/>
        <w:ind w:left="0" w:right="0" w:firstLine="0"/>
        <w:jc w:val="center"/>
        <w:rPr>
          <w:i/>
          <w:sz w:val="24"/>
          <w:szCs w:val="24"/>
          <w:lang w:val="ru-RU"/>
        </w:rPr>
      </w:pPr>
    </w:p>
    <w:p w14:paraId="6F5E196A">
      <w:pPr>
        <w:pStyle w:val="6"/>
        <w:spacing w:before="2"/>
        <w:ind w:left="0" w:right="0" w:firstLine="0"/>
        <w:jc w:val="center"/>
        <w:rPr>
          <w:i/>
          <w:sz w:val="24"/>
          <w:szCs w:val="24"/>
          <w:lang w:val="ru-RU"/>
        </w:rPr>
      </w:pPr>
    </w:p>
    <w:p w14:paraId="40586595">
      <w:pPr>
        <w:pStyle w:val="6"/>
        <w:spacing w:before="2"/>
        <w:ind w:left="0" w:right="0" w:firstLine="0"/>
        <w:jc w:val="center"/>
        <w:rPr>
          <w:i/>
          <w:sz w:val="24"/>
          <w:szCs w:val="24"/>
          <w:lang w:val="ru-RU"/>
        </w:rPr>
      </w:pPr>
    </w:p>
    <w:p w14:paraId="303C8F8B">
      <w:pPr>
        <w:pStyle w:val="6"/>
        <w:spacing w:before="2"/>
        <w:ind w:left="0" w:right="0" w:firstLine="0"/>
        <w:jc w:val="center"/>
        <w:rPr>
          <w:i/>
          <w:sz w:val="24"/>
          <w:szCs w:val="24"/>
          <w:lang w:val="ru-RU"/>
        </w:rPr>
      </w:pPr>
    </w:p>
    <w:p w14:paraId="395F2F90">
      <w:pPr>
        <w:pStyle w:val="6"/>
        <w:spacing w:before="2"/>
        <w:ind w:left="0" w:right="0" w:firstLine="0"/>
        <w:jc w:val="center"/>
        <w:rPr>
          <w:i/>
          <w:sz w:val="24"/>
          <w:szCs w:val="24"/>
          <w:lang w:val="ru-RU"/>
        </w:rPr>
      </w:pPr>
    </w:p>
    <w:p w14:paraId="2C07D225">
      <w:pPr>
        <w:pStyle w:val="6"/>
        <w:spacing w:before="2"/>
        <w:ind w:left="0" w:right="0" w:firstLine="0"/>
        <w:jc w:val="center"/>
        <w:rPr>
          <w:i/>
          <w:sz w:val="24"/>
          <w:szCs w:val="24"/>
          <w:lang w:val="ru-RU"/>
        </w:rPr>
      </w:pPr>
    </w:p>
    <w:p w14:paraId="5AD50519">
      <w:pPr>
        <w:pStyle w:val="6"/>
        <w:spacing w:before="2"/>
        <w:ind w:left="0" w:right="0" w:firstLine="0"/>
        <w:jc w:val="center"/>
        <w:rPr>
          <w:i/>
          <w:sz w:val="24"/>
          <w:szCs w:val="24"/>
          <w:lang w:val="ru-RU"/>
        </w:rPr>
      </w:pPr>
    </w:p>
    <w:p w14:paraId="13511FCF">
      <w:pPr>
        <w:pStyle w:val="6"/>
        <w:spacing w:before="2"/>
        <w:ind w:left="0" w:right="0" w:firstLine="0"/>
        <w:jc w:val="center"/>
        <w:rPr>
          <w:i/>
          <w:sz w:val="24"/>
          <w:szCs w:val="24"/>
          <w:lang w:val="ru-RU"/>
        </w:rPr>
      </w:pPr>
    </w:p>
    <w:p w14:paraId="0B257269">
      <w:pPr>
        <w:pStyle w:val="6"/>
        <w:spacing w:before="2"/>
        <w:ind w:left="0" w:right="0" w:firstLine="0"/>
        <w:jc w:val="center"/>
        <w:rPr>
          <w:i/>
          <w:sz w:val="24"/>
          <w:szCs w:val="24"/>
          <w:lang w:val="ru-RU"/>
        </w:rPr>
      </w:pPr>
    </w:p>
    <w:p w14:paraId="6C955267">
      <w:pPr>
        <w:pStyle w:val="6"/>
        <w:spacing w:before="2"/>
        <w:ind w:left="0" w:right="0" w:firstLine="0"/>
        <w:jc w:val="center"/>
        <w:rPr>
          <w:i/>
          <w:sz w:val="24"/>
          <w:szCs w:val="24"/>
          <w:lang w:val="ru-RU"/>
        </w:rPr>
      </w:pPr>
    </w:p>
    <w:p w14:paraId="5ACD6F76">
      <w:pPr>
        <w:pStyle w:val="6"/>
        <w:spacing w:before="2"/>
        <w:ind w:left="0" w:right="0" w:firstLine="0"/>
        <w:jc w:val="center"/>
        <w:rPr>
          <w:i/>
          <w:sz w:val="24"/>
          <w:szCs w:val="24"/>
          <w:lang w:val="ru-RU"/>
        </w:rPr>
      </w:pPr>
    </w:p>
    <w:p w14:paraId="33D5D99E">
      <w:pPr>
        <w:pStyle w:val="6"/>
        <w:spacing w:before="2"/>
        <w:ind w:left="0" w:right="0" w:firstLine="0"/>
        <w:jc w:val="both"/>
        <w:rPr>
          <w:i/>
          <w:sz w:val="24"/>
          <w:szCs w:val="24"/>
          <w:lang w:val="ru-RU"/>
        </w:rPr>
      </w:pPr>
    </w:p>
    <w:p w14:paraId="79A32D30">
      <w:pPr>
        <w:pStyle w:val="6"/>
        <w:spacing w:before="2"/>
        <w:ind w:left="0" w:right="0" w:firstLine="0"/>
        <w:jc w:val="center"/>
        <w:rPr>
          <w:rFonts w:hint="default"/>
          <w:b/>
          <w:bCs/>
          <w:i w:val="0"/>
          <w:iCs/>
          <w:sz w:val="24"/>
          <w:szCs w:val="24"/>
          <w:lang w:val="ru-RU"/>
        </w:rPr>
      </w:pPr>
      <w:r>
        <w:rPr>
          <w:b/>
          <w:bCs/>
          <w:i w:val="0"/>
          <w:iCs/>
          <w:sz w:val="24"/>
          <w:szCs w:val="24"/>
          <w:lang w:val="ru-RU"/>
        </w:rPr>
        <w:t>Москва</w:t>
      </w:r>
      <w:r>
        <w:rPr>
          <w:rFonts w:hint="default"/>
          <w:b/>
          <w:bCs/>
          <w:i w:val="0"/>
          <w:iCs/>
          <w:sz w:val="24"/>
          <w:szCs w:val="24"/>
          <w:lang w:val="ru-RU"/>
        </w:rPr>
        <w:t>, 2024 г.</w:t>
      </w:r>
    </w:p>
    <w:p w14:paraId="15E312C3">
      <w:pPr>
        <w:pStyle w:val="10"/>
        <w:numPr>
          <w:ilvl w:val="0"/>
          <w:numId w:val="1"/>
        </w:numPr>
        <w:tabs>
          <w:tab w:val="left" w:pos="1074"/>
        </w:tabs>
        <w:spacing w:line="298" w:lineRule="exact"/>
        <w:ind w:right="0"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Сведения о кредиторе (ломбарде) - далее</w:t>
      </w:r>
      <w:r>
        <w:rPr>
          <w:spacing w:val="-2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займодатель.</w:t>
      </w:r>
    </w:p>
    <w:p w14:paraId="15E312C4">
      <w:pPr>
        <w:pStyle w:val="10"/>
        <w:tabs>
          <w:tab w:val="left" w:pos="1343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Займодатель — общество с ограниченной ответственностью «</w:t>
      </w:r>
      <w:r>
        <w:rPr>
          <w:bCs/>
          <w:sz w:val="24"/>
          <w:szCs w:val="24"/>
          <w:lang w:val="ru-RU"/>
        </w:rPr>
        <w:t>Ломбард Привилегия</w:t>
      </w:r>
      <w:r>
        <w:rPr>
          <w:sz w:val="24"/>
          <w:szCs w:val="24"/>
          <w:lang w:val="ru-RU"/>
        </w:rPr>
        <w:t>» (далее – Ломбард) ИНН 7730239309, ОГРН 5177746091804, адрес местонахождения постоянно действующего исполнительного органа: 121165, г. Москва, Кутузовский проспект, дом 30, пом/ком 1/</w:t>
      </w:r>
      <w:r>
        <w:rPr>
          <w:rFonts w:hint="default"/>
          <w:sz w:val="24"/>
          <w:szCs w:val="24"/>
          <w:lang w:val="ru-RU"/>
        </w:rPr>
        <w:t>5П</w:t>
      </w:r>
      <w:r>
        <w:rPr>
          <w:sz w:val="24"/>
          <w:szCs w:val="24"/>
          <w:lang w:val="ru-RU"/>
        </w:rPr>
        <w:t>.</w:t>
      </w:r>
    </w:p>
    <w:p w14:paraId="15E312CE">
      <w:pPr>
        <w:pStyle w:val="10"/>
        <w:tabs>
          <w:tab w:val="left" w:pos="1343"/>
        </w:tabs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- Официальный сайт в информационно-телекоммуникационной сети «Интернет»: </w:t>
      </w:r>
      <w:r>
        <w:rPr>
          <w:sz w:val="24"/>
          <w:szCs w:val="24"/>
        </w:rPr>
        <w:t>www</w:t>
      </w:r>
      <w:r>
        <w:rPr>
          <w:sz w:val="24"/>
          <w:szCs w:val="24"/>
          <w:lang w:val="ru-RU"/>
        </w:rPr>
        <w:t>.</w:t>
      </w:r>
      <w:r>
        <w:rPr>
          <w:lang w:val="ru-RU"/>
        </w:rPr>
        <w:t xml:space="preserve"> </w:t>
      </w:r>
      <w:r>
        <w:rPr>
          <w:sz w:val="24"/>
          <w:szCs w:val="24"/>
        </w:rPr>
        <w:t>lombard</w:t>
      </w:r>
      <w:r>
        <w:rPr>
          <w:sz w:val="24"/>
          <w:szCs w:val="24"/>
          <w:lang w:val="ru-RU"/>
        </w:rPr>
        <w:t>-</w:t>
      </w:r>
      <w:r>
        <w:rPr>
          <w:sz w:val="24"/>
          <w:szCs w:val="24"/>
        </w:rPr>
        <w:t>privilegia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>ru</w:t>
      </w:r>
    </w:p>
    <w:p w14:paraId="15E312CF">
      <w:pPr>
        <w:pStyle w:val="10"/>
        <w:numPr>
          <w:ilvl w:val="0"/>
          <w:numId w:val="1"/>
        </w:numPr>
        <w:tabs>
          <w:tab w:val="left" w:pos="1135"/>
        </w:tabs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Требования к заемщику, установленные Ломбардом, выполнение которых является обязательным для предоставления потребительского</w:t>
      </w:r>
      <w:r>
        <w:rPr>
          <w:spacing w:val="-23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займа:</w:t>
      </w:r>
    </w:p>
    <w:p w14:paraId="15E312D0">
      <w:pPr>
        <w:pStyle w:val="10"/>
        <w:numPr>
          <w:ilvl w:val="1"/>
          <w:numId w:val="1"/>
        </w:numPr>
        <w:tabs>
          <w:tab w:val="left" w:pos="1236"/>
        </w:tabs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Заемщиком может быть любое физическое лицо, предъявившее документ, удостоверяющий личность, а также иные документы, необходимые в соответствии с утвержденными Правилами внутреннего контроля Ломбарда, разработанными в соответствии с Федеральным законом от 07.08.2001 г. № 115-ФЗ «О противодействии легализации (отмыванию) доходов, полученных преступным путем, и финансированию терроризма» (далее - Закон №</w:t>
      </w:r>
      <w:r>
        <w:rPr>
          <w:spacing w:val="-9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115-ФЗ).</w:t>
      </w:r>
    </w:p>
    <w:p w14:paraId="15E312D1">
      <w:pPr>
        <w:pStyle w:val="6"/>
        <w:ind w:right="105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Примечание: в случаях и порядке, установленных Правилами внутреннего контроля Ломбарда, Ломбард вправе отказать клиенту в осуществлении операции с денежными средствами или иным имуществом или приостановить эту операцию.</w:t>
      </w:r>
    </w:p>
    <w:p w14:paraId="15E312D2">
      <w:pPr>
        <w:pStyle w:val="10"/>
        <w:numPr>
          <w:ilvl w:val="1"/>
          <w:numId w:val="1"/>
        </w:numPr>
        <w:tabs>
          <w:tab w:val="left" w:pos="1278"/>
        </w:tabs>
        <w:spacing w:before="3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Обязательным условием предоставления займа является предоставление заемщиком обеспечения путем передачи в залог Ломбарду имущества: ювелирных и/или иных бытовых изделий из драгоценных металлов и драгоценных камней, изделий из кожи и меха, часов, принимаемых</w:t>
      </w:r>
      <w:r>
        <w:rPr>
          <w:spacing w:val="-19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Ломбардом.</w:t>
      </w:r>
    </w:p>
    <w:p w14:paraId="15E312D3">
      <w:pPr>
        <w:pStyle w:val="10"/>
        <w:numPr>
          <w:ilvl w:val="2"/>
          <w:numId w:val="1"/>
        </w:numPr>
        <w:tabs>
          <w:tab w:val="left" w:pos="1520"/>
        </w:tabs>
        <w:ind w:right="106"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Обязательным условием передачи имущества в залог является его принадлежность заемщику на праве собственности, отсутствие залога этого имущества третьим лицам и то, что закладываемое имущество не является предметом спора с третьими</w:t>
      </w:r>
      <w:r>
        <w:rPr>
          <w:spacing w:val="-9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лицами.</w:t>
      </w:r>
    </w:p>
    <w:p w14:paraId="15E312D4">
      <w:pPr>
        <w:pStyle w:val="10"/>
        <w:numPr>
          <w:ilvl w:val="2"/>
          <w:numId w:val="1"/>
        </w:numPr>
        <w:tabs>
          <w:tab w:val="left" w:pos="1541"/>
        </w:tabs>
        <w:ind w:right="105"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Заемщик согласен, что имущество, на которое в соответствии с Федеральным законом от 19.07.2007 г. № 196 «О ломбардах» обращено взыскание, Ломбард в необходимых случаях предоставляет на опробование и клеймение государственным клеймом</w:t>
      </w:r>
      <w:r>
        <w:rPr>
          <w:spacing w:val="-10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Российской Федерации.</w:t>
      </w:r>
    </w:p>
    <w:p w14:paraId="15E312D5">
      <w:pPr>
        <w:tabs>
          <w:tab w:val="left" w:pos="1097"/>
        </w:tabs>
        <w:ind w:left="142" w:right="105"/>
        <w:jc w:val="both"/>
        <w:rPr>
          <w:color w:val="FF0000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3. Ломбард не вправе изменять в одностороннем порядке предложенные заемщику индивидуальные условия договора потребительского кредита (займа).</w:t>
      </w:r>
    </w:p>
    <w:p w14:paraId="15E312D6">
      <w:pPr>
        <w:pStyle w:val="10"/>
        <w:numPr>
          <w:ilvl w:val="0"/>
          <w:numId w:val="2"/>
        </w:numPr>
        <w:tabs>
          <w:tab w:val="left" w:pos="1086"/>
        </w:tabs>
        <w:ind w:left="142" w:right="104"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Предоставление займа и прием вещи в залог осуществляется при обращении заемщика в Ломбард, после оформления в установленном законодательством Российской Федерации порядке Залогового билета (Договора займа), в котором указаны индивидуальные условия.</w:t>
      </w:r>
    </w:p>
    <w:p w14:paraId="15E312D7">
      <w:pPr>
        <w:pStyle w:val="10"/>
        <w:tabs>
          <w:tab w:val="left" w:pos="1086"/>
        </w:tabs>
        <w:ind w:left="142" w:right="104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4.1. Ломбард страхует в пользу заемщика за свой счет риск утраты и повреждения вещи, принятой в залог, на сумму, равную сумме ее оценки, на протяжении всего периода ее нахождения в Ломбарде.</w:t>
      </w:r>
    </w:p>
    <w:p w14:paraId="15E312D8">
      <w:pPr>
        <w:tabs>
          <w:tab w:val="left" w:pos="1086"/>
        </w:tabs>
        <w:ind w:left="104" w:right="104" w:firstLine="605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4.2. Не допускается начисление процентов, неустойки (штрафа, пени), иных мер ответственности, а так же платежей за услуги, оказываемые кредитором заемщику за отдельную плату, после того, как сумма начисленных процентов, неустойки (штрафа, пени), иных мер ответственности, а так же платежей за услуги, оказываемые кредитором заемщику за отдельную плату,  достигнет 130</w:t>
      </w:r>
      <w:r>
        <w:rPr>
          <w:rFonts w:hint="default"/>
          <w:sz w:val="24"/>
          <w:szCs w:val="24"/>
          <w:lang w:val="ru-RU"/>
        </w:rPr>
        <w:t>%</w:t>
      </w:r>
      <w:r>
        <w:rPr>
          <w:sz w:val="24"/>
          <w:szCs w:val="24"/>
          <w:lang w:val="ru-RU"/>
        </w:rPr>
        <w:t xml:space="preserve"> </w:t>
      </w:r>
      <w:r>
        <w:rPr>
          <w:rFonts w:hint="default"/>
          <w:sz w:val="24"/>
          <w:szCs w:val="24"/>
          <w:lang w:val="ru-RU"/>
        </w:rPr>
        <w:t xml:space="preserve"> (сто тридцать </w:t>
      </w:r>
      <w:r>
        <w:rPr>
          <w:sz w:val="24"/>
          <w:szCs w:val="24"/>
          <w:lang w:val="ru-RU"/>
        </w:rPr>
        <w:t>процентов</w:t>
      </w:r>
      <w:r>
        <w:rPr>
          <w:rFonts w:hint="default"/>
          <w:sz w:val="24"/>
          <w:szCs w:val="24"/>
          <w:lang w:val="ru-RU"/>
        </w:rPr>
        <w:t>)</w:t>
      </w:r>
      <w:r>
        <w:rPr>
          <w:sz w:val="24"/>
          <w:szCs w:val="24"/>
          <w:lang w:val="ru-RU"/>
        </w:rPr>
        <w:t xml:space="preserve"> от суммы потребительского займа. В залоговом билете указывается при печати.</w:t>
      </w:r>
    </w:p>
    <w:p w14:paraId="15E312D9">
      <w:pPr>
        <w:pStyle w:val="10"/>
        <w:numPr>
          <w:ilvl w:val="0"/>
          <w:numId w:val="2"/>
        </w:numPr>
        <w:tabs>
          <w:tab w:val="left" w:pos="1132"/>
          <w:tab w:val="left" w:pos="8713"/>
        </w:tabs>
        <w:spacing w:line="242" w:lineRule="auto"/>
        <w:ind w:left="142" w:right="0" w:firstLine="771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Вид предоставленного потребительского</w:t>
      </w:r>
      <w:r>
        <w:rPr>
          <w:spacing w:val="33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займа:</w:t>
      </w:r>
      <w:r>
        <w:rPr>
          <w:spacing w:val="53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краткосрочный заем</w:t>
      </w:r>
      <w:r>
        <w:rPr>
          <w:spacing w:val="55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под</w:t>
      </w:r>
      <w:r>
        <w:rPr>
          <w:w w:val="99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залог ювелирных и других бытовых изделий из драгоценных металлов и</w:t>
      </w:r>
      <w:r>
        <w:rPr>
          <w:spacing w:val="5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драгоценных камней, изделий из кожи и меха, часов, на срок не более одного года. </w:t>
      </w:r>
    </w:p>
    <w:p w14:paraId="15E312DA">
      <w:pPr>
        <w:pStyle w:val="10"/>
        <w:numPr>
          <w:ilvl w:val="0"/>
          <w:numId w:val="2"/>
        </w:numPr>
        <w:tabs>
          <w:tab w:val="left" w:pos="1170"/>
        </w:tabs>
        <w:spacing w:before="3"/>
        <w:ind w:left="142" w:right="106" w:firstLine="771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Сумма займа, который может быть предоставлен заемщику под залог, определяется Ломбардом в зависимости от вида и качества закладываемого имущества, от срока пользования займом, от того, выполнял ли заемщик свои обязательства по предыдущим договорам с Ломбардом, и от ожидаемой цены и сроков реализации вещи в случае ее не</w:t>
      </w:r>
      <w:r>
        <w:rPr>
          <w:spacing w:val="-13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востребования.     </w:t>
      </w:r>
    </w:p>
    <w:p w14:paraId="15E312DB">
      <w:pPr>
        <w:pStyle w:val="10"/>
        <w:tabs>
          <w:tab w:val="left" w:pos="1170"/>
        </w:tabs>
        <w:spacing w:before="3"/>
        <w:ind w:left="142" w:right="10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6.1. </w:t>
      </w:r>
      <w:bookmarkStart w:id="0" w:name="_Hlk16850995"/>
      <w:r>
        <w:rPr>
          <w:sz w:val="24"/>
          <w:szCs w:val="24"/>
          <w:lang w:val="ru-RU"/>
        </w:rPr>
        <w:t>Оценка имущества осуществляется Ломбардом по соглашению с клиентом на основании рыночных цен на него и других факторов. Оценочная стоимость имущества указывается в Залоговом билете (Договоре займа).</w:t>
      </w:r>
    </w:p>
    <w:p w14:paraId="15E312DC">
      <w:pPr>
        <w:tabs>
          <w:tab w:val="left" w:pos="1170"/>
        </w:tabs>
        <w:spacing w:before="3"/>
        <w:ind w:left="142" w:right="106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6.2. Размер выдаваемого кредита, порядок и сроки его выдачи и возврата, его оплата определяются Ломбардом по соглашению с клиентом и указываются в индивидуальных условиях Залогового билета (Договора займа).</w:t>
      </w:r>
    </w:p>
    <w:bookmarkEnd w:id="0"/>
    <w:p w14:paraId="15E312DD">
      <w:pPr>
        <w:pStyle w:val="6"/>
        <w:ind w:left="142" w:right="108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6.3. Сумма выданного займа с процентами за срок пользования займом, установленный договором, в соответствии с п. 2 ст. 358 Гражданского кодекса Российской Федерации не может превышать сумму оценки предмета залога, установленную в соответствии со ст. 5 Федерального закона «О ломбардах».</w:t>
      </w:r>
    </w:p>
    <w:p w14:paraId="15E312DE">
      <w:pPr>
        <w:pStyle w:val="10"/>
        <w:numPr>
          <w:ilvl w:val="0"/>
          <w:numId w:val="2"/>
        </w:numPr>
        <w:tabs>
          <w:tab w:val="left" w:pos="1081"/>
        </w:tabs>
        <w:ind w:right="108"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Срок пользования займом устанавливается 30 дней.  День получения займа (день залога имущества) и день погашения обязательств заемщика (день выкупа) считаются днями пользования</w:t>
      </w:r>
      <w:r>
        <w:rPr>
          <w:spacing w:val="-2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займом. Проценты начисляются со дня, следующего за днем получения займа.</w:t>
      </w:r>
    </w:p>
    <w:p w14:paraId="15E312DF">
      <w:pPr>
        <w:pStyle w:val="6"/>
        <w:ind w:left="284" w:right="108" w:firstLine="52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Льготный срок, в течение которого Ломбард не вправе реализовывать предмет залога – 1 (один) месяц после истечения установленной даты возврата займа, указанной в Залоговом билете (Договоре займа).</w:t>
      </w:r>
    </w:p>
    <w:p w14:paraId="15E312E0">
      <w:pPr>
        <w:pStyle w:val="6"/>
        <w:ind w:left="284" w:right="108" w:firstLine="529"/>
        <w:rPr>
          <w:sz w:val="24"/>
          <w:szCs w:val="24"/>
          <w:lang w:val="ru-RU"/>
        </w:rPr>
      </w:pPr>
      <w:bookmarkStart w:id="1" w:name="_Hlk8817261"/>
      <w:r>
        <w:rPr>
          <w:sz w:val="24"/>
          <w:szCs w:val="24"/>
          <w:lang w:val="ru-RU"/>
        </w:rPr>
        <w:t>По обращению заемщика срок займа продлевается на тот же срок при условии уплаты заемщиком начисленных на дату обращения процентов (пролонгация срока договора займа или перезалог). Новый срок возврата займа и уплата процентов за его пользование указывается в новом залоговом билете, предоставляемом займодавцем заемщику при продлении.</w:t>
      </w:r>
    </w:p>
    <w:bookmarkEnd w:id="1"/>
    <w:p w14:paraId="15E312E1">
      <w:pPr>
        <w:pStyle w:val="10"/>
        <w:numPr>
          <w:ilvl w:val="0"/>
          <w:numId w:val="2"/>
        </w:numPr>
        <w:tabs>
          <w:tab w:val="left" w:pos="1074"/>
        </w:tabs>
        <w:spacing w:line="297" w:lineRule="exact"/>
        <w:ind w:left="1073" w:right="0" w:hanging="222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Займы выдаются в рублях</w:t>
      </w:r>
      <w:r>
        <w:rPr>
          <w:spacing w:val="-10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Российской Федерации.</w:t>
      </w:r>
    </w:p>
    <w:p w14:paraId="15E312E2">
      <w:pPr>
        <w:pStyle w:val="10"/>
        <w:numPr>
          <w:ilvl w:val="0"/>
          <w:numId w:val="2"/>
        </w:numPr>
        <w:tabs>
          <w:tab w:val="left" w:pos="1221"/>
        </w:tabs>
        <w:ind w:right="108"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Займы предоставляются путем выдачи наличных денежных средств. Возможно перечисление суммы займа на расчетный счет заемщика по письменному заявлению</w:t>
      </w:r>
      <w:r>
        <w:rPr>
          <w:spacing w:val="-8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последнего.</w:t>
      </w:r>
    </w:p>
    <w:p w14:paraId="15E312E3">
      <w:pPr>
        <w:pStyle w:val="10"/>
        <w:numPr>
          <w:ilvl w:val="0"/>
          <w:numId w:val="2"/>
        </w:numPr>
        <w:tabs>
          <w:tab w:val="left" w:pos="1339"/>
        </w:tabs>
        <w:spacing w:line="242" w:lineRule="auto"/>
        <w:ind w:right="106"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Процентная ставка указывается в процентах годовых, на первом листе договора потребительского кредита, которая не превышает предельное значение полной стоимости потребительских кредитов устанавливаемой Банком России и является переменной процентной ставкой, устанавливаемой Ломбардом.</w:t>
      </w:r>
    </w:p>
    <w:p w14:paraId="15E312E4">
      <w:pPr>
        <w:pStyle w:val="10"/>
        <w:tabs>
          <w:tab w:val="left" w:pos="1339"/>
        </w:tabs>
        <w:spacing w:line="242" w:lineRule="auto"/>
        <w:ind w:left="284" w:right="10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Конкретные процентные ставки по каждому займу указываются в индивидуальных условиях Залогового билета (Договора займа).</w:t>
      </w:r>
    </w:p>
    <w:p w14:paraId="15E312E5">
      <w:pPr>
        <w:pStyle w:val="10"/>
        <w:tabs>
          <w:tab w:val="left" w:pos="1339"/>
        </w:tabs>
        <w:spacing w:line="242" w:lineRule="auto"/>
        <w:ind w:left="284" w:right="10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случае, если Заемщик не согласен с данными условиями, процентная ставка по решению Ломбарда может быть снижена на 1-3% по согласованию с Заемщиком.</w:t>
      </w:r>
    </w:p>
    <w:p w14:paraId="15E312E6">
      <w:pPr>
        <w:pStyle w:val="10"/>
        <w:tabs>
          <w:tab w:val="left" w:pos="1339"/>
        </w:tabs>
        <w:spacing w:line="242" w:lineRule="auto"/>
        <w:ind w:left="284" w:right="10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Также в случае, если имущество заемщика находится в неудовлетворительном состоянии по техническим или иным причинам, процентная ставка по решению Ломбарда может быть увеличена на 1-2% по согласованию с Заемщиком.</w:t>
      </w:r>
    </w:p>
    <w:p w14:paraId="15E312E7">
      <w:pPr>
        <w:pStyle w:val="10"/>
        <w:numPr>
          <w:ilvl w:val="0"/>
          <w:numId w:val="2"/>
        </w:numPr>
        <w:tabs>
          <w:tab w:val="left" w:pos="1339"/>
        </w:tabs>
        <w:spacing w:line="242" w:lineRule="auto"/>
        <w:ind w:right="106"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Иные платежи заемщика (кроме процентов) по договору займа не предусмотрены.</w:t>
      </w:r>
    </w:p>
    <w:p w14:paraId="15E312E8">
      <w:pPr>
        <w:pStyle w:val="10"/>
        <w:numPr>
          <w:ilvl w:val="0"/>
          <w:numId w:val="2"/>
        </w:numPr>
        <w:tabs>
          <w:tab w:val="left" w:pos="1308"/>
        </w:tabs>
        <w:ind w:right="106"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Возврат потребительского займа с процентами осуществляется одним платежом. Возможно досрочное погашение займа и/или процентов в любое время до реализации невостребованного имущества. В этом случае срок возврата займа</w:t>
      </w:r>
      <w:r>
        <w:rPr>
          <w:spacing w:val="-9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продлевается.</w:t>
      </w:r>
    </w:p>
    <w:p w14:paraId="15E312E9">
      <w:pPr>
        <w:pStyle w:val="10"/>
        <w:numPr>
          <w:ilvl w:val="0"/>
          <w:numId w:val="2"/>
        </w:numPr>
        <w:tabs>
          <w:tab w:val="left" w:pos="1244"/>
        </w:tabs>
        <w:spacing w:before="3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Заемщик имеет право отказаться от получения займа в любой момент до момента получения денежных средств по договору</w:t>
      </w:r>
      <w:r>
        <w:rPr>
          <w:spacing w:val="-19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займа.</w:t>
      </w:r>
    </w:p>
    <w:p w14:paraId="15E312EA">
      <w:pPr>
        <w:pStyle w:val="6"/>
        <w:ind w:left="284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Заём с процентами возвращается путем внесения наличных денежных средств в кассу Ломбарда (по месту получения займа). Указанный способ является бесплатным. По согласованию между заемщиком и Ломбардом возможен возврат путем перечисления денежных средств на расчетный счет Ломбарда. При этом обязательства Заемщика перед Ломбардом по оплате считаются исполненными в размере внесенных денежных средств с момента внесения наличных денежных средств в соответствующую кредитную организацию, либо платежному агенту, осуществляющему деятельность по приему платежей физических лиц, либо банковскому платежному агенту (субагенту), осуществляющему деятельность в соответствии с законодательством о банках и банковской деятельности Российской Федерации.</w:t>
      </w:r>
    </w:p>
    <w:p w14:paraId="15E312EB">
      <w:pPr>
        <w:pStyle w:val="10"/>
        <w:numPr>
          <w:ilvl w:val="0"/>
          <w:numId w:val="2"/>
        </w:numPr>
        <w:tabs>
          <w:tab w:val="left" w:pos="1296"/>
        </w:tabs>
        <w:ind w:left="284" w:right="106" w:firstLine="62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Исполнение обязательств заемщика по договору займа обеспечивается залогом, который передается Ломбарду. Ломбард вправе реализовать невостребованное имущество по истечении льготного срока в соответствии с Федеральным законом «О</w:t>
      </w:r>
      <w:r>
        <w:rPr>
          <w:spacing w:val="-13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ломбардах».</w:t>
      </w:r>
    </w:p>
    <w:p w14:paraId="15E312EC">
      <w:pPr>
        <w:pStyle w:val="10"/>
        <w:numPr>
          <w:ilvl w:val="0"/>
          <w:numId w:val="2"/>
        </w:numPr>
        <w:tabs>
          <w:tab w:val="left" w:pos="1225"/>
        </w:tabs>
        <w:spacing w:line="242" w:lineRule="auto"/>
        <w:ind w:left="284" w:right="108"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Ответственность заемщика за ненадлежащее исполнение договора займа, в т. ч.  </w:t>
      </w:r>
      <w:r>
        <w:rPr>
          <w:sz w:val="24"/>
          <w:szCs w:val="24"/>
        </w:rPr>
        <w:t>взимание неустойки, договором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не</w:t>
      </w:r>
      <w:r>
        <w:rPr>
          <w:spacing w:val="-21"/>
          <w:sz w:val="24"/>
          <w:szCs w:val="24"/>
        </w:rPr>
        <w:t xml:space="preserve"> </w:t>
      </w:r>
      <w:r>
        <w:rPr>
          <w:sz w:val="24"/>
          <w:szCs w:val="24"/>
        </w:rPr>
        <w:t>предусматривается.</w:t>
      </w:r>
    </w:p>
    <w:p w14:paraId="15E312ED">
      <w:pPr>
        <w:pStyle w:val="10"/>
        <w:numPr>
          <w:ilvl w:val="0"/>
          <w:numId w:val="2"/>
        </w:numPr>
        <w:tabs>
          <w:tab w:val="left" w:pos="1227"/>
        </w:tabs>
        <w:spacing w:before="52" w:line="242" w:lineRule="auto"/>
        <w:ind w:left="284" w:right="108"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Заемщик не обязан заключать иные договоры в связи с получением займа, кроме договора займа в Ломбарде (оформляемого залоговым</w:t>
      </w:r>
      <w:r>
        <w:rPr>
          <w:spacing w:val="-24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билетом).</w:t>
      </w:r>
    </w:p>
    <w:p w14:paraId="15E312EE">
      <w:pPr>
        <w:pStyle w:val="10"/>
        <w:numPr>
          <w:ilvl w:val="0"/>
          <w:numId w:val="2"/>
        </w:numPr>
        <w:tabs>
          <w:tab w:val="left" w:pos="1213"/>
        </w:tabs>
        <w:ind w:left="284"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Информация о возможном увеличении суммы расходов заемщика в рублях: увеличение расходов в виде процентов за пользование займом возможно только в случае, если период фактического пользования займом превышает период, установленный заемщиком и указанный в договоре</w:t>
      </w:r>
      <w:r>
        <w:rPr>
          <w:spacing w:val="-19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займа.</w:t>
      </w:r>
    </w:p>
    <w:p w14:paraId="15E312EF">
      <w:pPr>
        <w:pStyle w:val="10"/>
        <w:numPr>
          <w:ilvl w:val="0"/>
          <w:numId w:val="2"/>
        </w:numPr>
        <w:tabs>
          <w:tab w:val="left" w:pos="1245"/>
        </w:tabs>
        <w:ind w:left="284" w:right="106" w:firstLine="715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Заемщик информирован, что в случае, если в течение одного года общий размер платежей по всем имеющимся у заемщика на дату обращения к кредитору о предоставлении потребительского кредита (займа) обязательствам будет превышать 50% годового дохода заемщика, для заемщика существует риск неисполнения им обязательств по договору потребительского кредита (займа) и применения к нему мер ответственности в соответствии с действующим законодательством Российской Федерации.</w:t>
      </w:r>
    </w:p>
    <w:p w14:paraId="15E312F0">
      <w:pPr>
        <w:pStyle w:val="10"/>
        <w:numPr>
          <w:ilvl w:val="0"/>
          <w:numId w:val="2"/>
        </w:numPr>
        <w:tabs>
          <w:tab w:val="left" w:pos="1302"/>
        </w:tabs>
        <w:spacing w:before="3"/>
        <w:ind w:left="284"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Заемщик информирован, что он вправе запретить уступку Ломбардом третьим лицам прав (требований) по договору</w:t>
      </w:r>
      <w:r>
        <w:rPr>
          <w:spacing w:val="-17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займа.</w:t>
      </w:r>
    </w:p>
    <w:p w14:paraId="15E312F1">
      <w:pPr>
        <w:pStyle w:val="10"/>
        <w:numPr>
          <w:ilvl w:val="0"/>
          <w:numId w:val="2"/>
        </w:numPr>
        <w:tabs>
          <w:tab w:val="left" w:pos="1352"/>
        </w:tabs>
        <w:spacing w:line="242" w:lineRule="auto"/>
        <w:ind w:left="284" w:right="108"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Подсудность споров по искам Ломбарда к заемщику определяется действующим законодательством</w:t>
      </w:r>
      <w:r>
        <w:rPr>
          <w:spacing w:val="-12"/>
          <w:sz w:val="24"/>
          <w:szCs w:val="24"/>
          <w:lang w:val="ru-RU"/>
        </w:rPr>
        <w:t xml:space="preserve"> Российской Федерации</w:t>
      </w:r>
      <w:r>
        <w:rPr>
          <w:sz w:val="24"/>
          <w:szCs w:val="24"/>
          <w:lang w:val="ru-RU"/>
        </w:rPr>
        <w:t>.</w:t>
      </w:r>
    </w:p>
    <w:p w14:paraId="15E312F2">
      <w:pPr>
        <w:pStyle w:val="10"/>
        <w:numPr>
          <w:ilvl w:val="0"/>
          <w:numId w:val="2"/>
        </w:numPr>
        <w:tabs>
          <w:tab w:val="left" w:pos="1240"/>
        </w:tabs>
        <w:ind w:left="284" w:right="106"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Настоящие Общие условия договора займа устанавливаются Ломбардом в целях многократного применения к ним в соответствии с Федеральным законом «О потребительском кредите (займе)» и Федеральным законом «О ломбардах».</w:t>
      </w:r>
    </w:p>
    <w:p w14:paraId="15E312F3">
      <w:pPr>
        <w:pStyle w:val="10"/>
        <w:numPr>
          <w:ilvl w:val="0"/>
          <w:numId w:val="2"/>
        </w:numPr>
        <w:tabs>
          <w:tab w:val="left" w:pos="1293"/>
        </w:tabs>
        <w:ind w:left="284"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Ломбард и заемщик согласовывают индивидуальные условия договора потребительского займа, которые наряду с «Общими условиями договора займа» и залоговым билетом являются обязательной составной частью договора потребительского</w:t>
      </w:r>
      <w:r>
        <w:rPr>
          <w:spacing w:val="-26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займа.</w:t>
      </w:r>
    </w:p>
    <w:p w14:paraId="15E312F4">
      <w:pPr>
        <w:pStyle w:val="10"/>
        <w:numPr>
          <w:ilvl w:val="0"/>
          <w:numId w:val="2"/>
        </w:numPr>
        <w:tabs>
          <w:tab w:val="left" w:pos="1218"/>
        </w:tabs>
        <w:ind w:left="284"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Во всем остальном, что не предусмотрено настоящими Общими условиями договора потребительского займа, действуют положения Гражданского кодекса Российской Федерации, Федерального закона «О ломбардах», Федерального закона «О потребительском кредите займе» и других законодательных актов Российской Федерации, а также договора займа в Ломбарде, оформленного непосредственно самим Залоговым билетом (Договором займа), в котором прописаны индивидуальные условия договора.   </w:t>
      </w:r>
    </w:p>
    <w:p w14:paraId="15E312F5">
      <w:pPr>
        <w:pStyle w:val="10"/>
        <w:tabs>
          <w:tab w:val="left" w:pos="1218"/>
        </w:tabs>
        <w:ind w:left="993" w:firstLine="0"/>
        <w:rPr>
          <w:sz w:val="24"/>
          <w:szCs w:val="24"/>
          <w:lang w:val="ru-RU"/>
        </w:rPr>
      </w:pPr>
    </w:p>
    <w:sectPr>
      <w:headerReference r:id="rId4" w:type="first"/>
      <w:headerReference r:id="rId3" w:type="default"/>
      <w:pgSz w:w="11910" w:h="16840"/>
      <w:pgMar w:top="1060" w:right="1020" w:bottom="280" w:left="1040" w:header="720" w:footer="720" w:gutter="0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8132DA">
    <w:pPr>
      <w:pStyle w:val="5"/>
      <w:jc w:val="center"/>
      <w:rPr>
        <w:rFonts w:hint="default"/>
        <w:sz w:val="18"/>
        <w:szCs w:val="18"/>
        <w:lang w:val="ru-RU"/>
      </w:rPr>
    </w:pPr>
    <w:r>
      <w:rPr>
        <w:sz w:val="18"/>
        <w:szCs w:val="18"/>
        <w:lang w:val="ru-RU"/>
      </w:rPr>
      <w:t>Общие</w:t>
    </w:r>
    <w:r>
      <w:rPr>
        <w:rFonts w:hint="default"/>
        <w:sz w:val="18"/>
        <w:szCs w:val="18"/>
        <w:lang w:val="ru-RU"/>
      </w:rPr>
      <w:t xml:space="preserve"> условия договора потребительского кредита (займа) ООО «Ломбард Привилегия»</w:t>
    </w:r>
  </w:p>
  <w:p w14:paraId="2C4F396F">
    <w:pPr>
      <w:pStyle w:val="5"/>
      <w:pBdr>
        <w:bottom w:val="none" w:color="auto" w:sz="0" w:space="0"/>
      </w:pBdr>
      <w:jc w:val="center"/>
      <w:rPr>
        <w:rFonts w:hint="default"/>
        <w:sz w:val="18"/>
        <w:szCs w:val="18"/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39E109"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7A0D79"/>
    <w:multiLevelType w:val="multilevel"/>
    <w:tmpl w:val="337A0D79"/>
    <w:lvl w:ilvl="0" w:tentative="0">
      <w:start w:val="4"/>
      <w:numFmt w:val="decimal"/>
      <w:lvlText w:val="%1."/>
      <w:lvlJc w:val="left"/>
      <w:pPr>
        <w:ind w:left="204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924" w:hanging="360"/>
      </w:pPr>
    </w:lvl>
    <w:lvl w:ilvl="2" w:tentative="0">
      <w:start w:val="1"/>
      <w:numFmt w:val="lowerRoman"/>
      <w:lvlText w:val="%3."/>
      <w:lvlJc w:val="right"/>
      <w:pPr>
        <w:ind w:left="1644" w:hanging="180"/>
      </w:pPr>
    </w:lvl>
    <w:lvl w:ilvl="3" w:tentative="0">
      <w:start w:val="1"/>
      <w:numFmt w:val="decimal"/>
      <w:lvlText w:val="%4."/>
      <w:lvlJc w:val="left"/>
      <w:pPr>
        <w:ind w:left="2364" w:hanging="360"/>
      </w:pPr>
    </w:lvl>
    <w:lvl w:ilvl="4" w:tentative="0">
      <w:start w:val="1"/>
      <w:numFmt w:val="lowerLetter"/>
      <w:lvlText w:val="%5."/>
      <w:lvlJc w:val="left"/>
      <w:pPr>
        <w:ind w:left="3084" w:hanging="360"/>
      </w:pPr>
    </w:lvl>
    <w:lvl w:ilvl="5" w:tentative="0">
      <w:start w:val="1"/>
      <w:numFmt w:val="lowerRoman"/>
      <w:lvlText w:val="%6."/>
      <w:lvlJc w:val="right"/>
      <w:pPr>
        <w:ind w:left="3804" w:hanging="180"/>
      </w:pPr>
    </w:lvl>
    <w:lvl w:ilvl="6" w:tentative="0">
      <w:start w:val="1"/>
      <w:numFmt w:val="decimal"/>
      <w:lvlText w:val="%7."/>
      <w:lvlJc w:val="left"/>
      <w:pPr>
        <w:ind w:left="4524" w:hanging="360"/>
      </w:pPr>
    </w:lvl>
    <w:lvl w:ilvl="7" w:tentative="0">
      <w:start w:val="1"/>
      <w:numFmt w:val="lowerLetter"/>
      <w:lvlText w:val="%8."/>
      <w:lvlJc w:val="left"/>
      <w:pPr>
        <w:ind w:left="5244" w:hanging="360"/>
      </w:pPr>
    </w:lvl>
    <w:lvl w:ilvl="8" w:tentative="0">
      <w:start w:val="1"/>
      <w:numFmt w:val="lowerRoman"/>
      <w:lvlText w:val="%9."/>
      <w:lvlJc w:val="right"/>
      <w:pPr>
        <w:ind w:left="5964" w:hanging="180"/>
      </w:pPr>
    </w:lvl>
  </w:abstractNum>
  <w:abstractNum w:abstractNumId="1">
    <w:nsid w:val="618744B0"/>
    <w:multiLevelType w:val="multilevel"/>
    <w:tmpl w:val="618744B0"/>
    <w:lvl w:ilvl="0" w:tentative="0">
      <w:start w:val="1"/>
      <w:numFmt w:val="decimal"/>
      <w:lvlText w:val="%1."/>
      <w:lvlJc w:val="left"/>
      <w:pPr>
        <w:ind w:left="104" w:hanging="260"/>
      </w:pPr>
      <w:rPr>
        <w:rFonts w:hint="default" w:ascii="Times New Roman" w:hAnsi="Times New Roman" w:eastAsia="Times New Roman" w:cs="Times New Roman"/>
        <w:w w:val="99"/>
        <w:sz w:val="26"/>
        <w:szCs w:val="26"/>
      </w:rPr>
    </w:lvl>
    <w:lvl w:ilvl="1" w:tentative="0">
      <w:start w:val="1"/>
      <w:numFmt w:val="decimal"/>
      <w:lvlText w:val="%1.%2"/>
      <w:lvlJc w:val="left"/>
      <w:pPr>
        <w:ind w:left="104" w:hanging="530"/>
      </w:pPr>
      <w:rPr>
        <w:rFonts w:hint="default" w:ascii="Times New Roman" w:hAnsi="Times New Roman" w:eastAsia="Times New Roman" w:cs="Times New Roman"/>
        <w:w w:val="99"/>
        <w:sz w:val="26"/>
        <w:szCs w:val="26"/>
      </w:rPr>
    </w:lvl>
    <w:lvl w:ilvl="2" w:tentative="0">
      <w:start w:val="1"/>
      <w:numFmt w:val="decimal"/>
      <w:lvlText w:val="%1.%2.%3"/>
      <w:lvlJc w:val="left"/>
      <w:pPr>
        <w:ind w:left="104" w:hanging="707"/>
      </w:pPr>
      <w:rPr>
        <w:rFonts w:hint="default" w:ascii="Times New Roman" w:hAnsi="Times New Roman" w:eastAsia="Times New Roman" w:cs="Times New Roman"/>
        <w:w w:val="99"/>
        <w:sz w:val="26"/>
        <w:szCs w:val="26"/>
      </w:rPr>
    </w:lvl>
    <w:lvl w:ilvl="3" w:tentative="0">
      <w:start w:val="0"/>
      <w:numFmt w:val="bullet"/>
      <w:lvlText w:val="•"/>
      <w:lvlJc w:val="left"/>
      <w:pPr>
        <w:ind w:left="3023" w:hanging="707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3998" w:hanging="707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4972" w:hanging="707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5947" w:hanging="707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6922" w:hanging="707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7896" w:hanging="707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96759"/>
    <w:rsid w:val="00057A16"/>
    <w:rsid w:val="00091264"/>
    <w:rsid w:val="000F3F37"/>
    <w:rsid w:val="00113B02"/>
    <w:rsid w:val="00125659"/>
    <w:rsid w:val="00161A34"/>
    <w:rsid w:val="00172DFF"/>
    <w:rsid w:val="00270613"/>
    <w:rsid w:val="00274086"/>
    <w:rsid w:val="00276EB5"/>
    <w:rsid w:val="002B7E9B"/>
    <w:rsid w:val="00306FB8"/>
    <w:rsid w:val="003747AA"/>
    <w:rsid w:val="0038103D"/>
    <w:rsid w:val="00387910"/>
    <w:rsid w:val="00396759"/>
    <w:rsid w:val="003A42CF"/>
    <w:rsid w:val="003A6101"/>
    <w:rsid w:val="003B0989"/>
    <w:rsid w:val="004329F4"/>
    <w:rsid w:val="004336D6"/>
    <w:rsid w:val="00462DDC"/>
    <w:rsid w:val="0047268A"/>
    <w:rsid w:val="0047383A"/>
    <w:rsid w:val="00482444"/>
    <w:rsid w:val="004B6CED"/>
    <w:rsid w:val="004F1BE6"/>
    <w:rsid w:val="00543FD3"/>
    <w:rsid w:val="00574E54"/>
    <w:rsid w:val="0058156E"/>
    <w:rsid w:val="005E25EF"/>
    <w:rsid w:val="005F2EC4"/>
    <w:rsid w:val="005F47B5"/>
    <w:rsid w:val="005F4A72"/>
    <w:rsid w:val="006224A7"/>
    <w:rsid w:val="00656654"/>
    <w:rsid w:val="00692845"/>
    <w:rsid w:val="006C1DBB"/>
    <w:rsid w:val="006F2279"/>
    <w:rsid w:val="00711D79"/>
    <w:rsid w:val="00756BD5"/>
    <w:rsid w:val="00756EBF"/>
    <w:rsid w:val="0076336A"/>
    <w:rsid w:val="007647EC"/>
    <w:rsid w:val="008069E9"/>
    <w:rsid w:val="00825DEB"/>
    <w:rsid w:val="008600A6"/>
    <w:rsid w:val="008C0499"/>
    <w:rsid w:val="008C1C29"/>
    <w:rsid w:val="009171BE"/>
    <w:rsid w:val="009765CF"/>
    <w:rsid w:val="009D04A8"/>
    <w:rsid w:val="009D4ED5"/>
    <w:rsid w:val="009D735B"/>
    <w:rsid w:val="00A84B68"/>
    <w:rsid w:val="00AB4359"/>
    <w:rsid w:val="00AC379C"/>
    <w:rsid w:val="00AE1094"/>
    <w:rsid w:val="00B26695"/>
    <w:rsid w:val="00B2696E"/>
    <w:rsid w:val="00B30D5F"/>
    <w:rsid w:val="00B4425A"/>
    <w:rsid w:val="00B85789"/>
    <w:rsid w:val="00B94A8D"/>
    <w:rsid w:val="00BE32A8"/>
    <w:rsid w:val="00C45E44"/>
    <w:rsid w:val="00C50751"/>
    <w:rsid w:val="00C713C4"/>
    <w:rsid w:val="00C829E9"/>
    <w:rsid w:val="00C93078"/>
    <w:rsid w:val="00C9765A"/>
    <w:rsid w:val="00CC01EE"/>
    <w:rsid w:val="00D75A62"/>
    <w:rsid w:val="00DD7FBF"/>
    <w:rsid w:val="00E00181"/>
    <w:rsid w:val="00E12B92"/>
    <w:rsid w:val="00E16E82"/>
    <w:rsid w:val="00E342D0"/>
    <w:rsid w:val="00ED5DD0"/>
    <w:rsid w:val="00F87205"/>
    <w:rsid w:val="03AE0FC0"/>
    <w:rsid w:val="043B42C6"/>
    <w:rsid w:val="11FE0A9D"/>
    <w:rsid w:val="58915328"/>
    <w:rsid w:val="65514DA7"/>
    <w:rsid w:val="6E032D03"/>
    <w:rsid w:val="7BFF2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</w:rPr>
  </w:style>
  <w:style w:type="paragraph" w:styleId="5">
    <w:name w:val="header"/>
    <w:basedOn w:val="1"/>
    <w:semiHidden/>
    <w:unhideWhenUsed/>
    <w:qFormat/>
    <w:uiPriority w:val="99"/>
    <w:pPr>
      <w:tabs>
        <w:tab w:val="center" w:pos="4153"/>
        <w:tab w:val="right" w:pos="8306"/>
      </w:tabs>
    </w:pPr>
  </w:style>
  <w:style w:type="paragraph" w:styleId="6">
    <w:name w:val="Body Text"/>
    <w:basedOn w:val="1"/>
    <w:qFormat/>
    <w:uiPriority w:val="1"/>
    <w:pPr>
      <w:ind w:left="104" w:right="107" w:firstLine="709"/>
      <w:jc w:val="both"/>
    </w:pPr>
    <w:rPr>
      <w:sz w:val="26"/>
      <w:szCs w:val="26"/>
    </w:rPr>
  </w:style>
  <w:style w:type="paragraph" w:styleId="7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</w:pPr>
  </w:style>
  <w:style w:type="table" w:styleId="8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pPr>
      <w:ind w:left="104" w:right="107" w:firstLine="709"/>
      <w:jc w:val="both"/>
    </w:pPr>
  </w:style>
  <w:style w:type="paragraph" w:customStyle="1" w:styleId="11">
    <w:name w:val="Table Paragraph"/>
    <w:basedOn w:val="1"/>
    <w:qFormat/>
    <w:uiPriority w:val="1"/>
  </w:style>
  <w:style w:type="paragraph" w:customStyle="1" w:styleId="12">
    <w:name w:val="ConsPlusNonformat"/>
    <w:qFormat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 w:eastAsiaTheme="minorEastAsia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1456</Words>
  <Characters>8303</Characters>
  <Lines>69</Lines>
  <Paragraphs>19</Paragraphs>
  <TotalTime>3</TotalTime>
  <ScaleCrop>false</ScaleCrop>
  <LinksUpToDate>false</LinksUpToDate>
  <CharactersWithSpaces>9740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2017-08-25T15:50:00Z</dcterms:created>
  <dc:creator>User</dc:creator>
  <cp:lastModifiedBy>menta</cp:lastModifiedBy>
  <cp:lastPrinted>2024-01-26T10:14:00Z</cp:lastPrinted>
  <dcterms:modified xsi:type="dcterms:W3CDTF">2024-07-16T11:51:04Z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2017-07-17T00:00:00Z</vt:filetime>
  </property>
  <property fmtid="{D5CDD505-2E9C-101B-9397-08002B2CF9AE}" pid="3" name="KSOProductBuildVer">
    <vt:lpwstr>1049-12.2.0.17119</vt:lpwstr>
  </property>
  <property fmtid="{D5CDD505-2E9C-101B-9397-08002B2CF9AE}" pid="4" name="ICV">
    <vt:lpwstr>FFF3D9FAE221400CA0E04DDF2FE27C61_12</vt:lpwstr>
  </property>
</Properties>
</file>